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3A54" w14:textId="4D3F8142" w:rsidR="004E4673" w:rsidRPr="00467FEA" w:rsidRDefault="004E4673" w:rsidP="004E4673">
      <w:pPr>
        <w:rPr>
          <w:rFonts w:ascii="Times New Roman" w:hAnsi="Times New Roman" w:cs="Times New Roman"/>
          <w:b/>
          <w:sz w:val="28"/>
        </w:rPr>
      </w:pPr>
      <w:r w:rsidRPr="002E7F7E">
        <w:rPr>
          <w:rFonts w:ascii="Times New Roman" w:hAnsi="Times New Roman" w:cs="Times New Roman"/>
          <w:b/>
          <w:sz w:val="28"/>
        </w:rPr>
        <w:t xml:space="preserve">Příloha č. </w:t>
      </w:r>
      <w:r w:rsidR="006F2163">
        <w:rPr>
          <w:rFonts w:ascii="Times New Roman" w:hAnsi="Times New Roman" w:cs="Times New Roman"/>
          <w:b/>
          <w:sz w:val="28"/>
        </w:rPr>
        <w:t>4</w:t>
      </w:r>
      <w:r w:rsidRPr="002E7F7E">
        <w:rPr>
          <w:rFonts w:ascii="Times New Roman" w:hAnsi="Times New Roman" w:cs="Times New Roman"/>
          <w:b/>
          <w:sz w:val="28"/>
        </w:rPr>
        <w:t xml:space="preserve"> Hodnoticí škála pro jednotlivá kritéria ústní zkoušky z</w:t>
      </w:r>
      <w:r w:rsidR="00467FEA">
        <w:rPr>
          <w:rFonts w:ascii="Times New Roman" w:hAnsi="Times New Roman" w:cs="Times New Roman"/>
          <w:b/>
          <w:sz w:val="28"/>
        </w:rPr>
        <w:t> </w:t>
      </w:r>
      <w:r w:rsidRPr="00467FEA">
        <w:rPr>
          <w:rFonts w:ascii="Times New Roman" w:hAnsi="Times New Roman" w:cs="Times New Roman"/>
          <w:b/>
          <w:sz w:val="28"/>
        </w:rPr>
        <w:t>JN</w:t>
      </w:r>
      <w:r w:rsidR="00467FEA" w:rsidRPr="00467FEA">
        <w:rPr>
          <w:rFonts w:ascii="Times New Roman" w:hAnsi="Times New Roman" w:cs="Times New Roman"/>
          <w:b/>
          <w:sz w:val="28"/>
        </w:rPr>
        <w:t xml:space="preserve"> ve školním roce 202</w:t>
      </w:r>
      <w:r w:rsidR="006F2163">
        <w:rPr>
          <w:rFonts w:ascii="Times New Roman" w:hAnsi="Times New Roman" w:cs="Times New Roman"/>
          <w:b/>
          <w:sz w:val="28"/>
        </w:rPr>
        <w:t>1</w:t>
      </w:r>
      <w:r w:rsidR="00467FEA" w:rsidRPr="00467FEA">
        <w:rPr>
          <w:rFonts w:ascii="Times New Roman" w:hAnsi="Times New Roman" w:cs="Times New Roman"/>
          <w:b/>
          <w:sz w:val="28"/>
        </w:rPr>
        <w:t>/202</w:t>
      </w:r>
      <w:r w:rsidR="006F2163">
        <w:rPr>
          <w:rFonts w:ascii="Times New Roman" w:hAnsi="Times New Roman" w:cs="Times New Roman"/>
          <w:b/>
          <w:sz w:val="28"/>
        </w:rPr>
        <w:t>2</w:t>
      </w:r>
    </w:p>
    <w:tbl>
      <w:tblPr>
        <w:tblStyle w:val="Mkatabulky"/>
        <w:tblW w:w="14170" w:type="dxa"/>
        <w:tblLook w:val="04A0" w:firstRow="1" w:lastRow="0" w:firstColumn="1" w:lastColumn="0" w:noHBand="0" w:noVBand="1"/>
      </w:tblPr>
      <w:tblGrid>
        <w:gridCol w:w="2023"/>
        <w:gridCol w:w="3036"/>
        <w:gridCol w:w="3037"/>
        <w:gridCol w:w="3037"/>
        <w:gridCol w:w="3037"/>
      </w:tblGrid>
      <w:tr w:rsidR="002E7F7E" w14:paraId="7F299E86" w14:textId="77777777" w:rsidTr="002E7F7E">
        <w:tc>
          <w:tcPr>
            <w:tcW w:w="2023" w:type="dxa"/>
            <w:shd w:val="clear" w:color="auto" w:fill="E9B5D4"/>
          </w:tcPr>
          <w:p w14:paraId="598B5D6A" w14:textId="77777777" w:rsidR="004E4673" w:rsidRDefault="004E4673" w:rsidP="003F0CBD"/>
        </w:tc>
        <w:tc>
          <w:tcPr>
            <w:tcW w:w="3036" w:type="dxa"/>
            <w:shd w:val="clear" w:color="auto" w:fill="92D050"/>
          </w:tcPr>
          <w:p w14:paraId="528B8E7D" w14:textId="77777777" w:rsidR="004E4673" w:rsidRDefault="004E4673" w:rsidP="003F0CBD">
            <w:r>
              <w:t>3 body</w:t>
            </w:r>
          </w:p>
        </w:tc>
        <w:tc>
          <w:tcPr>
            <w:tcW w:w="3037" w:type="dxa"/>
            <w:shd w:val="clear" w:color="auto" w:fill="92D050"/>
          </w:tcPr>
          <w:p w14:paraId="4EE6293A" w14:textId="77777777" w:rsidR="004E4673" w:rsidRDefault="004E4673" w:rsidP="003F0CBD">
            <w:r>
              <w:t>2 body</w:t>
            </w:r>
          </w:p>
        </w:tc>
        <w:tc>
          <w:tcPr>
            <w:tcW w:w="3037" w:type="dxa"/>
            <w:shd w:val="clear" w:color="auto" w:fill="92D050"/>
          </w:tcPr>
          <w:p w14:paraId="6EC86B69" w14:textId="77777777" w:rsidR="004E4673" w:rsidRDefault="004E4673" w:rsidP="003F0CBD">
            <w:r>
              <w:t>1 body</w:t>
            </w:r>
          </w:p>
        </w:tc>
        <w:tc>
          <w:tcPr>
            <w:tcW w:w="3037" w:type="dxa"/>
            <w:shd w:val="clear" w:color="auto" w:fill="92D050"/>
          </w:tcPr>
          <w:p w14:paraId="19CD9714" w14:textId="77777777" w:rsidR="004E4673" w:rsidRDefault="004E4673" w:rsidP="003F0CBD">
            <w:r>
              <w:t>0 bodů</w:t>
            </w:r>
          </w:p>
        </w:tc>
      </w:tr>
      <w:tr w:rsidR="002E7F7E" w14:paraId="2D3B1BF3" w14:textId="77777777" w:rsidTr="002E7F7E">
        <w:tc>
          <w:tcPr>
            <w:tcW w:w="2023" w:type="dxa"/>
            <w:shd w:val="clear" w:color="auto" w:fill="E9B5D4"/>
          </w:tcPr>
          <w:p w14:paraId="7AB366B9" w14:textId="77777777" w:rsidR="004E4673" w:rsidRDefault="004E4673" w:rsidP="003F0CBD">
            <w:r>
              <w:t>Obsah a projev</w:t>
            </w:r>
          </w:p>
          <w:p w14:paraId="4F78C4B6" w14:textId="77777777" w:rsidR="004E4673" w:rsidRDefault="004E4673" w:rsidP="005D0211">
            <w:pPr>
              <w:spacing w:after="200" w:line="276" w:lineRule="auto"/>
              <w:jc w:val="center"/>
            </w:pPr>
          </w:p>
        </w:tc>
        <w:tc>
          <w:tcPr>
            <w:tcW w:w="3036" w:type="dxa"/>
          </w:tcPr>
          <w:p w14:paraId="671F5D8C" w14:textId="77777777" w:rsidR="004E4673" w:rsidRDefault="004E4673" w:rsidP="003F0CBD">
            <w:r>
              <w:t>Sdělení odpovídá zadání, je účelné, jasné a v odpovídající míře podrobné. Pomoc/asistence zkoušejícího není nutná.</w:t>
            </w:r>
          </w:p>
        </w:tc>
        <w:tc>
          <w:tcPr>
            <w:tcW w:w="3037" w:type="dxa"/>
          </w:tcPr>
          <w:p w14:paraId="39549F1F" w14:textId="77777777" w:rsidR="004E4673" w:rsidRDefault="004E4673" w:rsidP="003F0CBD">
            <w:r>
              <w:t>Sdělení většinou odpovídá zadání, je většinou účelné, jasné a v odpovídající míře podrobnosti. Pomoc/asistence zkoušejícího je ojediněle nutná.</w:t>
            </w:r>
          </w:p>
        </w:tc>
        <w:tc>
          <w:tcPr>
            <w:tcW w:w="3037" w:type="dxa"/>
          </w:tcPr>
          <w:p w14:paraId="7E694B3D" w14:textId="77777777" w:rsidR="004E4673" w:rsidRDefault="004E4673" w:rsidP="003F0CBD">
            <w:r>
              <w:t>Sdělení ve větší míře neodpovídá zadání, není ve větší míře účelné, jasné a v odpovídající míře podrobné. Pomoc/asistence zkoušejícího je ve větší míře nutná.</w:t>
            </w:r>
          </w:p>
        </w:tc>
        <w:tc>
          <w:tcPr>
            <w:tcW w:w="3037" w:type="dxa"/>
          </w:tcPr>
          <w:p w14:paraId="28786157" w14:textId="77777777" w:rsidR="004E4673" w:rsidRDefault="004E4673" w:rsidP="003F0CBD">
            <w:r>
              <w:t>Sdělení ani za neustálé pomoci/asistence zkoušejícího nesplňuje požadavky zadání. Pro nedostatek jazyka nelze hodnotit.</w:t>
            </w:r>
          </w:p>
        </w:tc>
      </w:tr>
      <w:tr w:rsidR="002E7F7E" w14:paraId="7B52CA1C" w14:textId="77777777" w:rsidTr="002E7F7E">
        <w:tc>
          <w:tcPr>
            <w:tcW w:w="2023" w:type="dxa"/>
            <w:shd w:val="clear" w:color="auto" w:fill="E9B5D4"/>
          </w:tcPr>
          <w:p w14:paraId="4FAC0ED8" w14:textId="77777777" w:rsidR="004E4673" w:rsidRDefault="004E4673" w:rsidP="003F0CBD">
            <w:r>
              <w:t>Organizace a koheze textu</w:t>
            </w:r>
          </w:p>
        </w:tc>
        <w:tc>
          <w:tcPr>
            <w:tcW w:w="3036" w:type="dxa"/>
          </w:tcPr>
          <w:p w14:paraId="16C25EF2" w14:textId="77777777" w:rsidR="004E4673" w:rsidRDefault="004E4673" w:rsidP="003F0CBD">
            <w:r>
              <w:t>Sdělení je souvislé s lineárním sledem myšlenek. Projev je natolik plynulý, že příjemce nemusí vynakládat úsilí jej sledovat či mu porozumět.</w:t>
            </w:r>
          </w:p>
        </w:tc>
        <w:tc>
          <w:tcPr>
            <w:tcW w:w="3037" w:type="dxa"/>
          </w:tcPr>
          <w:p w14:paraId="39C121A9" w14:textId="77777777" w:rsidR="004E4673" w:rsidRDefault="004E4673" w:rsidP="003F0CBD">
            <w:r>
              <w:t>Sdělení je většinou souvislé s lineárním sledem myšlenek. Projev je natolik plynulý, že příjemce většinou nemusí vynakládat úsilí jej sledovat či mu porozumět.</w:t>
            </w:r>
          </w:p>
        </w:tc>
        <w:tc>
          <w:tcPr>
            <w:tcW w:w="3037" w:type="dxa"/>
          </w:tcPr>
          <w:p w14:paraId="41352FA1" w14:textId="77777777" w:rsidR="004E4673" w:rsidRDefault="004E4673" w:rsidP="003F0CBD">
            <w:r>
              <w:t>Sdělení není ve větší míře souvislé s lineárním sledem myšlenek. Projev je natolik nesouvislý, že příjemce musí ve větší míře vynakládat úsilí jej sledovat či mu porozumět.</w:t>
            </w:r>
          </w:p>
        </w:tc>
        <w:tc>
          <w:tcPr>
            <w:tcW w:w="3037" w:type="dxa"/>
          </w:tcPr>
          <w:p w14:paraId="30710829" w14:textId="77777777" w:rsidR="004E4673" w:rsidRDefault="004E4673" w:rsidP="003F0CBD">
            <w:r>
              <w:t>Projev je natolik nesouvislý, že jej příjemce nemůže sledovat či mu porozumět.</w:t>
            </w:r>
          </w:p>
        </w:tc>
      </w:tr>
      <w:tr w:rsidR="002E7F7E" w14:paraId="1919959B" w14:textId="77777777" w:rsidTr="002E7F7E">
        <w:tc>
          <w:tcPr>
            <w:tcW w:w="2023" w:type="dxa"/>
            <w:shd w:val="clear" w:color="auto" w:fill="E9B5D4"/>
          </w:tcPr>
          <w:p w14:paraId="32207D5F" w14:textId="77777777" w:rsidR="004E4673" w:rsidRDefault="004E4673" w:rsidP="003F0CBD">
            <w:r>
              <w:t>Lexikální kompetence</w:t>
            </w:r>
          </w:p>
        </w:tc>
        <w:tc>
          <w:tcPr>
            <w:tcW w:w="3036" w:type="dxa"/>
          </w:tcPr>
          <w:p w14:paraId="23768040" w14:textId="77777777" w:rsidR="004E4673" w:rsidRDefault="004E4673" w:rsidP="003F0CBD">
            <w:r>
              <w:t>Slovní zásoba je široká a je použita správně. Chyby nebrání porozumění.</w:t>
            </w:r>
          </w:p>
        </w:tc>
        <w:tc>
          <w:tcPr>
            <w:tcW w:w="3037" w:type="dxa"/>
          </w:tcPr>
          <w:p w14:paraId="1422EFD1" w14:textId="77777777" w:rsidR="004E4673" w:rsidRDefault="004E4673" w:rsidP="003F0CBD">
            <w:r>
              <w:t>Slovní zásoba je většinou široká a většinou použita správně. Chyby ojediněle brání porozumění.</w:t>
            </w:r>
          </w:p>
        </w:tc>
        <w:tc>
          <w:tcPr>
            <w:tcW w:w="3037" w:type="dxa"/>
          </w:tcPr>
          <w:p w14:paraId="1B56F33A" w14:textId="77777777" w:rsidR="004E4673" w:rsidRDefault="004E4673" w:rsidP="003F0CBD">
            <w:r>
              <w:t>Slovní zásoba je ve větší míře omezená a není ve větší míře použita správně. Chyby ve větší míře brání porozumění.</w:t>
            </w:r>
          </w:p>
        </w:tc>
        <w:tc>
          <w:tcPr>
            <w:tcW w:w="3037" w:type="dxa"/>
          </w:tcPr>
          <w:p w14:paraId="71BDCACA" w14:textId="77777777" w:rsidR="004E4673" w:rsidRDefault="004E4673" w:rsidP="002E7F7E">
            <w:r>
              <w:t>Slovní zásoba je v</w:t>
            </w:r>
            <w:r w:rsidR="002E7F7E">
              <w:t> nedostateč</w:t>
            </w:r>
            <w:r>
              <w:t>ném rozsahu/není na požadované úrovni obtížnosti/není použita správně. Chyby brání porozumění sdělení.</w:t>
            </w:r>
          </w:p>
        </w:tc>
      </w:tr>
      <w:tr w:rsidR="002E7F7E" w14:paraId="755E63BA" w14:textId="77777777" w:rsidTr="002E7F7E">
        <w:tc>
          <w:tcPr>
            <w:tcW w:w="2023" w:type="dxa"/>
            <w:shd w:val="clear" w:color="auto" w:fill="E9B5D4"/>
          </w:tcPr>
          <w:p w14:paraId="058D1648" w14:textId="77777777" w:rsidR="004E4673" w:rsidRDefault="004E4673" w:rsidP="003F0CBD">
            <w:r>
              <w:t>Gramatická kompetence a PTN</w:t>
            </w:r>
          </w:p>
        </w:tc>
        <w:tc>
          <w:tcPr>
            <w:tcW w:w="3036" w:type="dxa"/>
          </w:tcPr>
          <w:p w14:paraId="109C79C3" w14:textId="77777777" w:rsidR="004E4673" w:rsidRDefault="004E4673" w:rsidP="003F0CBD">
            <w:r>
              <w:t>Rozsah mluvnických prostředků včetně PTN je široký. Mluvnické prostředky včetně PTN jsou použity správně a chyby nebrání porozumění.</w:t>
            </w:r>
          </w:p>
        </w:tc>
        <w:tc>
          <w:tcPr>
            <w:tcW w:w="3037" w:type="dxa"/>
          </w:tcPr>
          <w:p w14:paraId="5DF7EAC1" w14:textId="77777777" w:rsidR="004E4673" w:rsidRDefault="004E4673" w:rsidP="003F0CBD">
            <w:r>
              <w:t>Rozsah mluvnických prostředků včetně PTN je většinou široký. Mluvnické prostředky včetně PTN jsou většinou použity správně a/nebo chyby ojediněle brání porozumění.</w:t>
            </w:r>
          </w:p>
        </w:tc>
        <w:tc>
          <w:tcPr>
            <w:tcW w:w="3037" w:type="dxa"/>
          </w:tcPr>
          <w:p w14:paraId="0AF5E1CE" w14:textId="77777777" w:rsidR="004E4673" w:rsidRDefault="004E4673" w:rsidP="003F0CBD">
            <w:r>
              <w:t>Rozsah mluvnických prostředků včetně PTN je ve větší míře omezený. Mluvnické prostředky včetně PTN nejsou ve větší míře použity správně a/nebo chyby ve větší míře brání porozumění.</w:t>
            </w:r>
          </w:p>
        </w:tc>
        <w:tc>
          <w:tcPr>
            <w:tcW w:w="3037" w:type="dxa"/>
          </w:tcPr>
          <w:p w14:paraId="15E460B3" w14:textId="77777777" w:rsidR="004E4673" w:rsidRDefault="004E4673" w:rsidP="003F0CBD">
            <w:r>
              <w:t>Mluvnické prostředky včetně PTN jsou v nedostatečném rozsahu/nejsou na požadované úrovni obtížnosti/nejsou použity správně/chyby brání porozumění sdělení.</w:t>
            </w:r>
          </w:p>
        </w:tc>
      </w:tr>
      <w:tr w:rsidR="002E7F7E" w14:paraId="633913A1" w14:textId="77777777" w:rsidTr="002E7F7E">
        <w:tc>
          <w:tcPr>
            <w:tcW w:w="2023" w:type="dxa"/>
            <w:shd w:val="clear" w:color="auto" w:fill="E9B5D4"/>
          </w:tcPr>
          <w:p w14:paraId="4124D952" w14:textId="77777777" w:rsidR="004E4673" w:rsidRDefault="004E4673" w:rsidP="003F0CBD">
            <w:r>
              <w:t>Interakce</w:t>
            </w:r>
          </w:p>
          <w:p w14:paraId="3DB1F748" w14:textId="77777777" w:rsidR="004E4673" w:rsidRDefault="004E4673" w:rsidP="003F0CBD"/>
        </w:tc>
        <w:tc>
          <w:tcPr>
            <w:tcW w:w="3036" w:type="dxa"/>
          </w:tcPr>
          <w:p w14:paraId="6F684C7C" w14:textId="77777777" w:rsidR="004E4673" w:rsidRDefault="004E4673" w:rsidP="003F0CBD">
            <w:r>
              <w:t>Komunikativní strategie jsou používány vhodně.</w:t>
            </w:r>
          </w:p>
        </w:tc>
        <w:tc>
          <w:tcPr>
            <w:tcW w:w="3037" w:type="dxa"/>
          </w:tcPr>
          <w:p w14:paraId="0F4B2E41" w14:textId="77777777" w:rsidR="004E4673" w:rsidRDefault="004E4673" w:rsidP="003F0CBD">
            <w:r>
              <w:t>Komunikativní strategie jsou většinou používány vhodně.</w:t>
            </w:r>
          </w:p>
        </w:tc>
        <w:tc>
          <w:tcPr>
            <w:tcW w:w="3037" w:type="dxa"/>
          </w:tcPr>
          <w:p w14:paraId="523A3B2B" w14:textId="77777777" w:rsidR="004E4673" w:rsidRDefault="004E4673" w:rsidP="003F0CBD">
            <w:r>
              <w:t>Komunikativní strategie nejsou ve větší míře používány vhodně.</w:t>
            </w:r>
          </w:p>
        </w:tc>
        <w:tc>
          <w:tcPr>
            <w:tcW w:w="3037" w:type="dxa"/>
          </w:tcPr>
          <w:p w14:paraId="1EFCCC5F" w14:textId="77777777" w:rsidR="004E4673" w:rsidRDefault="004E4673" w:rsidP="003F0CBD">
            <w:r>
              <w:t>Komunikativní strategie chybí.</w:t>
            </w:r>
          </w:p>
        </w:tc>
      </w:tr>
      <w:tr w:rsidR="002E7F7E" w14:paraId="16D853B6" w14:textId="77777777" w:rsidTr="002E7F7E">
        <w:tc>
          <w:tcPr>
            <w:tcW w:w="2023" w:type="dxa"/>
            <w:shd w:val="clear" w:color="auto" w:fill="E9B5D4"/>
          </w:tcPr>
          <w:p w14:paraId="1FB2ED65" w14:textId="77777777" w:rsidR="004E4673" w:rsidRDefault="004E4673" w:rsidP="003F0CBD">
            <w:r>
              <w:t>Fonologická kompetence</w:t>
            </w:r>
          </w:p>
        </w:tc>
        <w:tc>
          <w:tcPr>
            <w:tcW w:w="3036" w:type="dxa"/>
          </w:tcPr>
          <w:p w14:paraId="2E49F05E" w14:textId="77777777" w:rsidR="004E4673" w:rsidRDefault="004E4673" w:rsidP="003F0CBD">
            <w:r>
              <w:t>Výslovnost je správná a intonace je přirozená. Chyby nebrání porozumění.</w:t>
            </w:r>
          </w:p>
        </w:tc>
        <w:tc>
          <w:tcPr>
            <w:tcW w:w="3037" w:type="dxa"/>
          </w:tcPr>
          <w:p w14:paraId="65971439" w14:textId="77777777" w:rsidR="004E4673" w:rsidRDefault="004E4673" w:rsidP="003F0CBD">
            <w:r>
              <w:t>Výslovnost je většinou správná. Intonace je většinou přirozená. Chyby ojediněle brání porozumění.</w:t>
            </w:r>
          </w:p>
        </w:tc>
        <w:tc>
          <w:tcPr>
            <w:tcW w:w="3037" w:type="dxa"/>
          </w:tcPr>
          <w:p w14:paraId="6FEFB2E2" w14:textId="77777777" w:rsidR="004E4673" w:rsidRDefault="004E4673" w:rsidP="003F0CBD">
            <w:r>
              <w:t>Výslovnost je ve větší míře nesprávná. Intonace je v omezené míře přirozená. Chyby ve větší míře brání porozumění.</w:t>
            </w:r>
          </w:p>
        </w:tc>
        <w:tc>
          <w:tcPr>
            <w:tcW w:w="3037" w:type="dxa"/>
          </w:tcPr>
          <w:p w14:paraId="59AE82AF" w14:textId="77777777" w:rsidR="004E4673" w:rsidRDefault="004E4673" w:rsidP="003F0CBD">
            <w:r>
              <w:t>Výslovnost brání porozumění sdělení. Intonace je nepřirozená.</w:t>
            </w:r>
          </w:p>
        </w:tc>
      </w:tr>
    </w:tbl>
    <w:p w14:paraId="04102252" w14:textId="77777777" w:rsidR="00000E13" w:rsidRDefault="00000E13"/>
    <w:sectPr w:rsidR="00000E13" w:rsidSect="004E4673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C493" w14:textId="77777777" w:rsidR="004E4673" w:rsidRDefault="004E4673" w:rsidP="004E4673">
      <w:pPr>
        <w:spacing w:after="0" w:line="240" w:lineRule="auto"/>
      </w:pPr>
      <w:r>
        <w:separator/>
      </w:r>
    </w:p>
  </w:endnote>
  <w:endnote w:type="continuationSeparator" w:id="0">
    <w:p w14:paraId="0BBA4B1C" w14:textId="77777777" w:rsidR="004E4673" w:rsidRDefault="004E4673" w:rsidP="004E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155EA" w14:textId="77777777" w:rsidR="004E4673" w:rsidRDefault="004E4673" w:rsidP="004E4673">
      <w:pPr>
        <w:spacing w:after="0" w:line="240" w:lineRule="auto"/>
      </w:pPr>
      <w:r>
        <w:separator/>
      </w:r>
    </w:p>
  </w:footnote>
  <w:footnote w:type="continuationSeparator" w:id="0">
    <w:p w14:paraId="4D17D33B" w14:textId="77777777" w:rsidR="004E4673" w:rsidRDefault="004E4673" w:rsidP="004E4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73"/>
    <w:rsid w:val="00000E13"/>
    <w:rsid w:val="001B0A7F"/>
    <w:rsid w:val="002E7F7E"/>
    <w:rsid w:val="00467FEA"/>
    <w:rsid w:val="004E4673"/>
    <w:rsid w:val="005D0211"/>
    <w:rsid w:val="006F2163"/>
    <w:rsid w:val="00B1479B"/>
    <w:rsid w:val="00B3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5F9E"/>
  <w15:chartTrackingRefBased/>
  <w15:docId w15:val="{49B26295-0205-4974-9828-03706502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46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E4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4673"/>
  </w:style>
  <w:style w:type="paragraph" w:styleId="Zpat">
    <w:name w:val="footer"/>
    <w:basedOn w:val="Normln"/>
    <w:link w:val="ZpatChar"/>
    <w:uiPriority w:val="99"/>
    <w:unhideWhenUsed/>
    <w:rsid w:val="004E4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4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Jazykové gymnázium Pavla Tigrida, Ostrava-Poruba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cveckova_jaroslava</dc:creator>
  <cp:keywords/>
  <dc:description/>
  <cp:lastModifiedBy>Jaroslava Cvečková</cp:lastModifiedBy>
  <cp:revision>6</cp:revision>
  <dcterms:created xsi:type="dcterms:W3CDTF">2021-05-23T19:09:00Z</dcterms:created>
  <dcterms:modified xsi:type="dcterms:W3CDTF">2022-02-07T12:08:00Z</dcterms:modified>
</cp:coreProperties>
</file>